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8E6B78"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0288" behindDoc="1" locked="0" layoutInCell="1" allowOverlap="1" wp14:anchorId="7B94F9D3" wp14:editId="1D411189">
            <wp:simplePos x="0" y="0"/>
            <wp:positionH relativeFrom="column">
              <wp:posOffset>-556895</wp:posOffset>
            </wp:positionH>
            <wp:positionV relativeFrom="paragraph">
              <wp:posOffset>282575</wp:posOffset>
            </wp:positionV>
            <wp:extent cx="6925310" cy="2924175"/>
            <wp:effectExtent l="0" t="0" r="0" b="0"/>
            <wp:wrapNone/>
            <wp:docPr id="2" name="Obraz 2" descr="B:\KARTY PRODUKTOWE\skateparki modułowe\4_Przykładowy skatepark modułowy nr 480115\4_48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4_Przykładowy skatepark modułowy nr 480115\4_48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531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7B" w:rsidRPr="002A007B">
        <w:rPr>
          <w:rFonts w:ascii="Segoe UI" w:hAnsi="Segoe UI" w:cs="Segoe UI"/>
          <w:b/>
          <w:noProof/>
          <w:sz w:val="24"/>
          <w:szCs w:val="24"/>
          <w:lang w:eastAsia="pl-PL"/>
        </w:rPr>
        <w:t xml:space="preserve"> </w:t>
      </w:r>
      <w:r w:rsidR="002A007B">
        <w:rPr>
          <w:rFonts w:ascii="Segoe UI" w:hAnsi="Segoe UI" w:cs="Segoe UI"/>
          <w:b/>
          <w:noProof/>
          <w:sz w:val="24"/>
          <w:szCs w:val="24"/>
          <w:lang w:eastAsia="pl-PL"/>
        </w:rPr>
        <w:t>SAMPLE MODULAR SKATEPARK</w:t>
      </w:r>
      <w:r w:rsidR="002A007B" w:rsidRPr="008662EA">
        <w:rPr>
          <w:rFonts w:ascii="Segoe UI" w:hAnsi="Segoe UI" w:cs="Segoe UI"/>
          <w:b/>
          <w:sz w:val="24"/>
          <w:szCs w:val="24"/>
        </w:rPr>
        <w:t xml:space="preserve"> </w:t>
      </w:r>
      <w:r w:rsidR="002A007B">
        <w:rPr>
          <w:rFonts w:ascii="Segoe UI" w:hAnsi="Segoe UI" w:cs="Segoe UI"/>
          <w:b/>
          <w:sz w:val="24"/>
          <w:szCs w:val="24"/>
        </w:rPr>
        <w:t>NO.</w:t>
      </w:r>
      <w:r w:rsidR="002A007B" w:rsidRPr="008662EA">
        <w:rPr>
          <w:rFonts w:ascii="Segoe UI" w:hAnsi="Segoe UI" w:cs="Segoe UI"/>
          <w:b/>
          <w:sz w:val="24"/>
          <w:szCs w:val="24"/>
        </w:rPr>
        <w:t xml:space="preserve"> </w:t>
      </w:r>
      <w:r w:rsidR="00084A95">
        <w:rPr>
          <w:rFonts w:ascii="Segoe UI" w:hAnsi="Segoe UI" w:cs="Segoe UI"/>
          <w:b/>
          <w:sz w:val="24"/>
          <w:szCs w:val="24"/>
        </w:rPr>
        <w:t>480115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3D7EE0"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A007B" w:rsidP="002A007B">
            <w:pPr>
              <w:spacing w:after="0"/>
              <w:jc w:val="center"/>
              <w:rPr>
                <w:rFonts w:ascii="Segoe UI" w:hAnsi="Segoe UI" w:cs="Segoe UI"/>
                <w:sz w:val="20"/>
                <w:szCs w:val="20"/>
              </w:rPr>
            </w:pPr>
            <w:r>
              <w:rPr>
                <w:rFonts w:ascii="Segoe UI" w:hAnsi="Segoe UI" w:cs="Segoe UI"/>
                <w:sz w:val="20"/>
                <w:szCs w:val="20"/>
              </w:rPr>
              <w:t>Platform</w:t>
            </w:r>
            <w:r w:rsidR="008E6B78">
              <w:rPr>
                <w:rFonts w:ascii="Segoe UI" w:hAnsi="Segoe UI" w:cs="Segoe UI"/>
                <w:sz w:val="20"/>
                <w:szCs w:val="20"/>
              </w:rPr>
              <w:t xml:space="preserve"> + </w:t>
            </w:r>
            <w:r w:rsidR="009D6B1C">
              <w:rPr>
                <w:rFonts w:ascii="Segoe UI" w:hAnsi="Segoe UI" w:cs="Segoe UI"/>
                <w:sz w:val="20"/>
                <w:szCs w:val="20"/>
              </w:rPr>
              <w:t xml:space="preserve">2x </w:t>
            </w:r>
            <w:proofErr w:type="spellStart"/>
            <w:r w:rsidR="009D6B1C">
              <w:rPr>
                <w:rFonts w:ascii="Segoe UI" w:hAnsi="Segoe UI" w:cs="Segoe UI"/>
                <w:sz w:val="20"/>
                <w:szCs w:val="20"/>
              </w:rPr>
              <w:t>grindbox</w:t>
            </w:r>
            <w:proofErr w:type="spellEnd"/>
            <w:r w:rsidR="009D6B1C">
              <w:rPr>
                <w:rFonts w:ascii="Segoe UI" w:hAnsi="Segoe UI" w:cs="Segoe UI"/>
                <w:sz w:val="20"/>
                <w:szCs w:val="20"/>
              </w:rPr>
              <w:t xml:space="preserve"> + </w:t>
            </w:r>
            <w:proofErr w:type="spellStart"/>
            <w:r>
              <w:rPr>
                <w:rFonts w:ascii="Segoe UI" w:hAnsi="Segoe UI" w:cs="Segoe UI"/>
                <w:sz w:val="20"/>
                <w:szCs w:val="20"/>
              </w:rPr>
              <w:t>grindrail</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8E6B78"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3D7EE0"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2A007B" w:rsidP="003D7EE0">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9D6B1C">
              <w:rPr>
                <w:rFonts w:ascii="Segoe UI" w:hAnsi="Segoe UI" w:cs="Segoe UI"/>
                <w:sz w:val="20"/>
                <w:szCs w:val="20"/>
              </w:rPr>
              <w:t xml:space="preserve"> 1 </w:t>
            </w:r>
            <w:r>
              <w:t xml:space="preserve"> </w:t>
            </w:r>
            <w:proofErr w:type="spellStart"/>
            <w:r w:rsidRPr="002A007B">
              <w:rPr>
                <w:rFonts w:ascii="Segoe UI" w:hAnsi="Segoe UI" w:cs="Segoe UI"/>
                <w:sz w:val="20"/>
                <w:szCs w:val="20"/>
              </w:rPr>
              <w:t>two</w:t>
            </w:r>
            <w:proofErr w:type="spellEnd"/>
            <w:r w:rsidRPr="002A007B">
              <w:rPr>
                <w:rFonts w:ascii="Segoe UI" w:hAnsi="Segoe UI" w:cs="Segoe UI"/>
                <w:sz w:val="20"/>
                <w:szCs w:val="20"/>
              </w:rPr>
              <w:t xml:space="preserve"> </w:t>
            </w:r>
            <w:proofErr w:type="spellStart"/>
            <w:r w:rsidRPr="002A007B">
              <w:rPr>
                <w:rFonts w:ascii="Segoe UI" w:hAnsi="Segoe UI" w:cs="Segoe UI"/>
                <w:sz w:val="20"/>
                <w:szCs w:val="20"/>
              </w:rPr>
              <w:t>levels</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1</w:t>
            </w:r>
          </w:p>
        </w:tc>
      </w:tr>
      <w:tr w:rsidR="008E6B78"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Pole jam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1</w:t>
            </w:r>
          </w:p>
        </w:tc>
      </w:tr>
      <w:tr w:rsidR="008E6B78"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Default="008E6B78" w:rsidP="008E6B78">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9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1</w:t>
            </w:r>
          </w:p>
        </w:tc>
      </w:tr>
      <w:tr w:rsidR="008E6B78" w:rsidTr="003D7EE0">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2A007B" w:rsidP="008E6B78">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8E6B78">
              <w:rPr>
                <w:rFonts w:ascii="Segoe UI" w:hAnsi="Segoe UI" w:cs="Segoe UI"/>
                <w:sz w:val="20"/>
                <w:szCs w:val="20"/>
              </w:rPr>
              <w:t xml:space="preserve"> „C”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1</w:t>
            </w:r>
          </w:p>
        </w:tc>
      </w:tr>
    </w:tbl>
    <w:p w:rsidR="0024079B" w:rsidRDefault="002A007B"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8E6B78">
        <w:rPr>
          <w:rFonts w:ascii="Segoe UI" w:hAnsi="Segoe UI" w:cs="Segoe UI"/>
          <w:b/>
          <w:sz w:val="20"/>
          <w:szCs w:val="20"/>
        </w:rPr>
        <w:t>560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2A007B" w:rsidRDefault="002A007B" w:rsidP="002A007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2A007B" w:rsidRDefault="002A007B" w:rsidP="002A007B">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2A007B" w:rsidRDefault="002A007B" w:rsidP="002A007B">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2A007B" w:rsidRDefault="002A007B" w:rsidP="002A007B">
      <w:pPr>
        <w:spacing w:after="0"/>
        <w:ind w:left="-851"/>
        <w:rPr>
          <w:rFonts w:ascii="Segoe UI" w:hAnsi="Segoe UI" w:cs="Segoe UI"/>
          <w:b/>
          <w:sz w:val="20"/>
          <w:szCs w:val="20"/>
        </w:rPr>
      </w:pPr>
      <w:r w:rsidRPr="008662EA">
        <w:rPr>
          <w:rFonts w:ascii="Segoe UI" w:hAnsi="Segoe UI" w:cs="Segoe UI"/>
          <w:sz w:val="20"/>
          <w:szCs w:val="20"/>
        </w:rPr>
        <w:t>BMX *</w:t>
      </w:r>
    </w:p>
    <w:p w:rsidR="0024079B" w:rsidRDefault="0024079B" w:rsidP="0024079B">
      <w:pPr>
        <w:spacing w:after="0"/>
        <w:ind w:left="-851"/>
        <w:rPr>
          <w:rFonts w:ascii="Segoe UI" w:hAnsi="Segoe UI" w:cs="Segoe UI"/>
          <w:b/>
          <w:sz w:val="20"/>
          <w:szCs w:val="20"/>
        </w:rPr>
      </w:pPr>
    </w:p>
    <w:p w:rsidR="002A007B" w:rsidRDefault="002A007B" w:rsidP="002A007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2A007B" w:rsidRPr="0001362B" w:rsidRDefault="002A007B" w:rsidP="002A007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8E6B78">
      <w:pPr>
        <w:rPr>
          <w:sz w:val="24"/>
          <w:szCs w:val="24"/>
        </w:rPr>
      </w:pPr>
      <w:r>
        <w:rPr>
          <w:noProof/>
          <w:sz w:val="24"/>
          <w:szCs w:val="24"/>
          <w:lang w:eastAsia="pl-PL"/>
        </w:rPr>
        <w:lastRenderedPageBreak/>
        <w:drawing>
          <wp:anchor distT="0" distB="0" distL="114300" distR="114300" simplePos="0" relativeHeight="251661312" behindDoc="1" locked="0" layoutInCell="1" allowOverlap="1">
            <wp:simplePos x="0" y="0"/>
            <wp:positionH relativeFrom="column">
              <wp:posOffset>-385445</wp:posOffset>
            </wp:positionH>
            <wp:positionV relativeFrom="paragraph">
              <wp:posOffset>-80645</wp:posOffset>
            </wp:positionV>
            <wp:extent cx="6772275" cy="3009900"/>
            <wp:effectExtent l="0" t="0" r="0" b="0"/>
            <wp:wrapNone/>
            <wp:docPr id="3" name="Obraz 3" descr="B:\KARTY PRODUKTOWE\skateparki modułowe\4_Przykładowy skatepark modułowy nr 480115\4_48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4_Przykładowy skatepark modułowy nr 480115\4_48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22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537832" w:rsidRPr="002F4709" w:rsidRDefault="00537832" w:rsidP="00537832">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537832" w:rsidRPr="002F4709" w:rsidRDefault="00537832" w:rsidP="00537832">
      <w:pPr>
        <w:rPr>
          <w:rFonts w:ascii="Segoe UI" w:hAnsi="Segoe UI" w:cs="Segoe UI"/>
          <w:sz w:val="20"/>
          <w:szCs w:val="20"/>
          <w:lang w:val="en-US"/>
        </w:rPr>
      </w:pPr>
      <w:r>
        <w:rPr>
          <w:rFonts w:ascii="Segoe UI" w:hAnsi="Segoe UI" w:cs="Segoe UI"/>
          <w:sz w:val="20"/>
          <w:szCs w:val="20"/>
          <w:lang w:val="en-US"/>
        </w:rPr>
        <w:t>This specification contains:</w:t>
      </w:r>
    </w:p>
    <w:p w:rsidR="00537832" w:rsidRPr="002F4709" w:rsidRDefault="00537832" w:rsidP="0053783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537832" w:rsidRPr="002F4709" w:rsidRDefault="00537832" w:rsidP="0053783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537832" w:rsidRPr="002F4709" w:rsidRDefault="00537832" w:rsidP="0053783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537832" w:rsidRPr="002F4709" w:rsidRDefault="00537832" w:rsidP="0053783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537832" w:rsidRPr="002F4709" w:rsidRDefault="00537832" w:rsidP="0053783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537832" w:rsidRPr="002F4709" w:rsidRDefault="00537832" w:rsidP="0053783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537832" w:rsidRPr="002F4709" w:rsidRDefault="00537832" w:rsidP="00537832">
      <w:pPr>
        <w:rPr>
          <w:rFonts w:ascii="Segoe UI" w:hAnsi="Segoe UI" w:cs="Segoe UI"/>
          <w:sz w:val="20"/>
          <w:szCs w:val="20"/>
          <w:lang w:val="en-US"/>
        </w:rPr>
      </w:pPr>
    </w:p>
    <w:p w:rsidR="00537832" w:rsidRPr="002F4709" w:rsidRDefault="00537832" w:rsidP="0053783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537832" w:rsidRPr="002F4709" w:rsidRDefault="00537832" w:rsidP="0053783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537832" w:rsidRPr="002F4709" w:rsidRDefault="00537832" w:rsidP="0053783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537832" w:rsidRPr="002F4709" w:rsidRDefault="00537832" w:rsidP="0053783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537832" w:rsidRPr="002F4709" w:rsidRDefault="00537832" w:rsidP="00537832">
      <w:pPr>
        <w:rPr>
          <w:rFonts w:ascii="Segoe UI" w:hAnsi="Segoe UI" w:cs="Segoe UI"/>
          <w:bCs/>
          <w:sz w:val="20"/>
          <w:szCs w:val="20"/>
          <w:lang w:val="en-US"/>
        </w:rPr>
      </w:pPr>
    </w:p>
    <w:p w:rsidR="00537832" w:rsidRPr="002F4709" w:rsidRDefault="00537832" w:rsidP="00537832">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537832" w:rsidRPr="002F4709" w:rsidRDefault="00537832" w:rsidP="00537832">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537832" w:rsidRPr="002F4709" w:rsidRDefault="00537832" w:rsidP="00537832">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537832"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Default="00537832" w:rsidP="00537832">
      <w:pPr>
        <w:suppressAutoHyphens/>
        <w:autoSpaceDE w:val="0"/>
        <w:spacing w:after="0" w:line="240" w:lineRule="auto"/>
        <w:ind w:left="1080"/>
        <w:rPr>
          <w:rFonts w:ascii="Segoe UI" w:hAnsi="Segoe UI" w:cs="Segoe UI"/>
          <w:sz w:val="20"/>
          <w:szCs w:val="20"/>
          <w:lang w:val="en-US"/>
        </w:rPr>
      </w:pPr>
    </w:p>
    <w:p w:rsidR="00537832" w:rsidRPr="002F4709" w:rsidRDefault="00537832" w:rsidP="00537832">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537832"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537832" w:rsidRPr="002F4709" w:rsidRDefault="00537832" w:rsidP="0053783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537832" w:rsidRPr="002F4709" w:rsidRDefault="00537832" w:rsidP="00537832">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537832" w:rsidRDefault="00537832" w:rsidP="00537832">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537832" w:rsidRPr="002F4709" w:rsidRDefault="00537832" w:rsidP="00537832">
      <w:pPr>
        <w:tabs>
          <w:tab w:val="left" w:pos="348"/>
        </w:tabs>
        <w:suppressAutoHyphens/>
        <w:autoSpaceDE w:val="0"/>
        <w:spacing w:after="0" w:line="240" w:lineRule="auto"/>
        <w:ind w:left="1068"/>
        <w:rPr>
          <w:rFonts w:ascii="Segoe UI" w:hAnsi="Segoe UI" w:cs="Segoe UI"/>
          <w:sz w:val="20"/>
          <w:szCs w:val="20"/>
          <w:lang w:val="en-US"/>
        </w:rPr>
      </w:pPr>
    </w:p>
    <w:p w:rsidR="00537832" w:rsidRPr="002F4709" w:rsidRDefault="00537832" w:rsidP="00537832">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537832" w:rsidRPr="002F4709" w:rsidRDefault="00537832" w:rsidP="00537832">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537832" w:rsidRPr="002F4709" w:rsidRDefault="00537832" w:rsidP="00537832">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537832" w:rsidRPr="002F4709" w:rsidRDefault="00537832" w:rsidP="00537832">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537832" w:rsidRPr="002F4709" w:rsidRDefault="00537832" w:rsidP="00537832">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537832" w:rsidRPr="002F4709" w:rsidRDefault="00537832" w:rsidP="00537832">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537832" w:rsidRDefault="00537832" w:rsidP="00537832">
      <w:pPr>
        <w:rPr>
          <w:rFonts w:ascii="Segoe UI" w:hAnsi="Segoe UI" w:cs="Segoe UI"/>
          <w:sz w:val="20"/>
          <w:szCs w:val="20"/>
          <w:lang w:val="en-US"/>
        </w:rPr>
      </w:pPr>
    </w:p>
    <w:p w:rsidR="00537832" w:rsidRDefault="00537832" w:rsidP="00537832">
      <w:pPr>
        <w:rPr>
          <w:rFonts w:ascii="Segoe UI" w:hAnsi="Segoe UI" w:cs="Segoe UI"/>
          <w:sz w:val="20"/>
          <w:szCs w:val="20"/>
          <w:lang w:val="en-US"/>
        </w:rPr>
      </w:pPr>
    </w:p>
    <w:p w:rsidR="00537832" w:rsidRDefault="00537832" w:rsidP="00537832">
      <w:pPr>
        <w:rPr>
          <w:rFonts w:ascii="Segoe UI" w:hAnsi="Segoe UI" w:cs="Segoe UI"/>
          <w:sz w:val="20"/>
          <w:szCs w:val="20"/>
          <w:lang w:val="en-US"/>
        </w:rPr>
      </w:pPr>
    </w:p>
    <w:p w:rsidR="00537832" w:rsidRDefault="00537832" w:rsidP="00537832">
      <w:pPr>
        <w:rPr>
          <w:rFonts w:ascii="Segoe UI" w:hAnsi="Segoe UI" w:cs="Segoe UI"/>
          <w:sz w:val="20"/>
          <w:szCs w:val="20"/>
          <w:lang w:val="en-US"/>
        </w:rPr>
      </w:pPr>
    </w:p>
    <w:p w:rsidR="00537832" w:rsidRDefault="00537832" w:rsidP="00537832">
      <w:pPr>
        <w:rPr>
          <w:rFonts w:ascii="Segoe UI" w:hAnsi="Segoe UI" w:cs="Segoe UI"/>
          <w:sz w:val="20"/>
          <w:szCs w:val="20"/>
          <w:lang w:val="en-US"/>
        </w:rPr>
      </w:pPr>
    </w:p>
    <w:p w:rsidR="00537832" w:rsidRPr="002F4709" w:rsidRDefault="00537832" w:rsidP="00537832">
      <w:pPr>
        <w:rPr>
          <w:rFonts w:ascii="Segoe UI" w:hAnsi="Segoe UI" w:cs="Segoe UI"/>
          <w:sz w:val="20"/>
          <w:szCs w:val="20"/>
          <w:lang w:val="en-US"/>
        </w:rPr>
      </w:pPr>
    </w:p>
    <w:p w:rsidR="00537832" w:rsidRPr="002F4709" w:rsidRDefault="00537832" w:rsidP="00537832">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537832" w:rsidRPr="002F4709" w:rsidRDefault="00537832" w:rsidP="00537832">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537832" w:rsidRPr="002F4709" w:rsidRDefault="00537832" w:rsidP="0053783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537832" w:rsidRPr="002F4709" w:rsidRDefault="00537832" w:rsidP="0053783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537832" w:rsidRPr="002F4709" w:rsidRDefault="00537832" w:rsidP="0053783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537832" w:rsidRPr="002F4709" w:rsidRDefault="00537832" w:rsidP="0053783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537832" w:rsidRDefault="00537832" w:rsidP="0053783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537832" w:rsidRPr="002F4709" w:rsidRDefault="00537832" w:rsidP="00537832">
      <w:pPr>
        <w:suppressAutoHyphens/>
        <w:spacing w:after="0" w:line="240" w:lineRule="auto"/>
        <w:ind w:left="720"/>
        <w:rPr>
          <w:rFonts w:ascii="Segoe UI" w:hAnsi="Segoe UI" w:cs="Segoe UI"/>
          <w:sz w:val="20"/>
          <w:szCs w:val="20"/>
          <w:lang w:val="en-US"/>
        </w:rPr>
      </w:pPr>
    </w:p>
    <w:p w:rsidR="00537832" w:rsidRPr="002F4709" w:rsidRDefault="00537832" w:rsidP="00537832">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537832" w:rsidRPr="002F4709" w:rsidRDefault="00537832" w:rsidP="00537832">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537832" w:rsidRPr="002F4709" w:rsidRDefault="00537832" w:rsidP="00537832">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537832" w:rsidRPr="002F4709" w:rsidRDefault="00537832" w:rsidP="0053783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537832" w:rsidRPr="002F4709" w:rsidRDefault="00537832" w:rsidP="0053783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537832" w:rsidRPr="002F4709" w:rsidRDefault="00537832" w:rsidP="0053783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537832" w:rsidRDefault="00537832" w:rsidP="0053783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537832" w:rsidRPr="002F4709" w:rsidRDefault="00537832" w:rsidP="00537832">
      <w:pPr>
        <w:suppressAutoHyphens/>
        <w:spacing w:after="0" w:line="240" w:lineRule="auto"/>
        <w:ind w:left="720"/>
        <w:rPr>
          <w:rFonts w:ascii="Segoe UI" w:hAnsi="Segoe UI" w:cs="Segoe UI"/>
          <w:color w:val="000000"/>
          <w:sz w:val="20"/>
          <w:szCs w:val="20"/>
          <w:lang w:val="en-US"/>
        </w:rPr>
      </w:pPr>
    </w:p>
    <w:p w:rsidR="00537832" w:rsidRPr="002F4709" w:rsidRDefault="00537832" w:rsidP="00537832">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537832" w:rsidRDefault="00537832" w:rsidP="00537832">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537832" w:rsidRPr="002F4709" w:rsidRDefault="00537832" w:rsidP="00537832">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537832" w:rsidRPr="002F4709"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537832" w:rsidRDefault="00537832" w:rsidP="00537832">
      <w:pPr>
        <w:suppressAutoHyphens/>
        <w:spacing w:after="0" w:line="240" w:lineRule="auto"/>
        <w:rPr>
          <w:rFonts w:ascii="Segoe UI" w:hAnsi="Segoe UI" w:cs="Segoe UI"/>
          <w:color w:val="000000"/>
          <w:sz w:val="20"/>
          <w:szCs w:val="20"/>
          <w:lang w:val="en-US"/>
        </w:rPr>
      </w:pPr>
    </w:p>
    <w:p w:rsidR="00537832" w:rsidRDefault="00537832" w:rsidP="00537832">
      <w:pPr>
        <w:suppressAutoHyphens/>
        <w:spacing w:after="0" w:line="240" w:lineRule="auto"/>
        <w:rPr>
          <w:rFonts w:ascii="Segoe UI" w:hAnsi="Segoe UI" w:cs="Segoe UI"/>
          <w:color w:val="000000"/>
          <w:sz w:val="20"/>
          <w:szCs w:val="20"/>
          <w:lang w:val="en-US"/>
        </w:rPr>
      </w:pPr>
    </w:p>
    <w:p w:rsidR="00537832" w:rsidRDefault="00537832" w:rsidP="00537832">
      <w:pPr>
        <w:suppressAutoHyphens/>
        <w:spacing w:after="0" w:line="240" w:lineRule="auto"/>
        <w:rPr>
          <w:rFonts w:ascii="Segoe UI" w:hAnsi="Segoe UI" w:cs="Segoe UI"/>
          <w:color w:val="000000"/>
          <w:sz w:val="20"/>
          <w:szCs w:val="20"/>
          <w:lang w:val="en-US"/>
        </w:rPr>
      </w:pPr>
    </w:p>
    <w:p w:rsidR="00537832" w:rsidRDefault="00537832" w:rsidP="00537832">
      <w:pPr>
        <w:suppressAutoHyphens/>
        <w:spacing w:after="0" w:line="240" w:lineRule="auto"/>
        <w:rPr>
          <w:rFonts w:ascii="Segoe UI" w:hAnsi="Segoe UI" w:cs="Segoe UI"/>
          <w:color w:val="000000"/>
          <w:sz w:val="20"/>
          <w:szCs w:val="20"/>
          <w:lang w:val="en-US"/>
        </w:rPr>
      </w:pPr>
    </w:p>
    <w:p w:rsidR="00537832" w:rsidRDefault="00537832" w:rsidP="00537832">
      <w:pPr>
        <w:suppressAutoHyphens/>
        <w:spacing w:after="0" w:line="240" w:lineRule="auto"/>
        <w:rPr>
          <w:rFonts w:ascii="Segoe UI" w:hAnsi="Segoe UI" w:cs="Segoe UI"/>
          <w:color w:val="000000"/>
          <w:sz w:val="20"/>
          <w:szCs w:val="20"/>
          <w:lang w:val="en-US"/>
        </w:rPr>
      </w:pPr>
    </w:p>
    <w:p w:rsidR="00537832" w:rsidRDefault="00537832" w:rsidP="00537832">
      <w:pPr>
        <w:suppressAutoHyphens/>
        <w:spacing w:after="0" w:line="240" w:lineRule="auto"/>
        <w:rPr>
          <w:rFonts w:ascii="Segoe UI" w:hAnsi="Segoe UI" w:cs="Segoe UI"/>
          <w:color w:val="000000"/>
          <w:sz w:val="20"/>
          <w:szCs w:val="20"/>
          <w:lang w:val="en-US"/>
        </w:rPr>
      </w:pPr>
    </w:p>
    <w:p w:rsidR="00537832" w:rsidRPr="002F4709"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537832"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537832" w:rsidRPr="002F4709" w:rsidRDefault="00537832" w:rsidP="0053783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537832" w:rsidRPr="002F4709" w:rsidRDefault="00537832" w:rsidP="00537832">
      <w:pPr>
        <w:autoSpaceDE w:val="0"/>
        <w:rPr>
          <w:rFonts w:ascii="Segoe UI" w:hAnsi="Segoe UI" w:cs="Segoe UI"/>
          <w:sz w:val="20"/>
          <w:szCs w:val="20"/>
          <w:lang w:val="en-US"/>
        </w:rPr>
      </w:pPr>
    </w:p>
    <w:p w:rsidR="00537832" w:rsidRPr="002F4709" w:rsidRDefault="00537832" w:rsidP="00537832">
      <w:pPr>
        <w:autoSpaceDE w:val="0"/>
        <w:rPr>
          <w:rFonts w:ascii="Segoe UI" w:hAnsi="Segoe UI" w:cs="Segoe UI"/>
          <w:b/>
          <w:sz w:val="20"/>
          <w:szCs w:val="20"/>
          <w:lang w:val="en-US"/>
        </w:rPr>
      </w:pPr>
      <w:r>
        <w:rPr>
          <w:rFonts w:ascii="Segoe UI" w:hAnsi="Segoe UI" w:cs="Segoe UI"/>
          <w:b/>
          <w:sz w:val="20"/>
          <w:szCs w:val="20"/>
          <w:lang w:val="en-US"/>
        </w:rPr>
        <w:t>5) SAFETY</w:t>
      </w:r>
    </w:p>
    <w:p w:rsidR="00537832" w:rsidRPr="002F4709" w:rsidRDefault="00537832" w:rsidP="0053783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537832" w:rsidRPr="002F4709" w:rsidRDefault="00537832" w:rsidP="0053783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537832" w:rsidRPr="002F4709" w:rsidRDefault="00537832" w:rsidP="0053783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537832" w:rsidRPr="002F4709" w:rsidRDefault="00537832" w:rsidP="0053783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537832" w:rsidRPr="002F4709" w:rsidRDefault="00537832" w:rsidP="0053783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537832" w:rsidRPr="002F4709" w:rsidRDefault="00537832" w:rsidP="00537832">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537832" w:rsidRPr="002F4709" w:rsidRDefault="00537832" w:rsidP="00537832">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suppressAutoHyphens/>
        <w:spacing w:after="0" w:line="240" w:lineRule="auto"/>
        <w:rPr>
          <w:rFonts w:ascii="Segoe UI" w:hAnsi="Segoe UI" w:cs="Segoe UI"/>
          <w:sz w:val="20"/>
          <w:szCs w:val="20"/>
          <w:lang w:val="en-US"/>
        </w:rPr>
      </w:pP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537832" w:rsidRDefault="00537832" w:rsidP="0053783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537832" w:rsidRPr="002F4709" w:rsidRDefault="00537832" w:rsidP="00537832">
      <w:pPr>
        <w:pStyle w:val="Akapitzlist"/>
        <w:suppressAutoHyphens/>
        <w:spacing w:after="0" w:line="240" w:lineRule="auto"/>
        <w:rPr>
          <w:rFonts w:ascii="Segoe UI" w:hAnsi="Segoe UI" w:cs="Segoe UI"/>
          <w:sz w:val="20"/>
          <w:szCs w:val="20"/>
          <w:lang w:val="en-US"/>
        </w:rPr>
      </w:pPr>
    </w:p>
    <w:p w:rsidR="00537832" w:rsidRPr="002F4709" w:rsidRDefault="00537832" w:rsidP="00537832">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537832" w:rsidRPr="002F4709" w:rsidRDefault="00537832" w:rsidP="00537832">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537832" w:rsidRPr="002F4709" w:rsidRDefault="00537832" w:rsidP="00537832">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537832" w:rsidRDefault="00537832" w:rsidP="00537832">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w:t>
      </w:r>
      <w:bookmarkStart w:id="0" w:name="_GoBack"/>
      <w:bookmarkEnd w:id="0"/>
      <w:r w:rsidRPr="002F4709">
        <w:rPr>
          <w:rFonts w:ascii="Segoe UI" w:hAnsi="Segoe UI" w:cs="Segoe UI"/>
          <w:sz w:val="20"/>
          <w:szCs w:val="20"/>
          <w:lang w:val="en-US"/>
        </w:rPr>
        <w:t xml:space="preserve">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537832" w:rsidRDefault="00537832" w:rsidP="00537832">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537832" w:rsidRPr="002806B9" w:rsidRDefault="00537832" w:rsidP="00537832">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537832" w:rsidRPr="001C67FB" w:rsidRDefault="00537832" w:rsidP="00537832">
      <w:pPr>
        <w:jc w:val="center"/>
        <w:rPr>
          <w:rFonts w:ascii="Segoe UI" w:hAnsi="Segoe UI" w:cs="Segoe UI"/>
          <w:sz w:val="20"/>
          <w:szCs w:val="20"/>
        </w:rPr>
      </w:pPr>
    </w:p>
    <w:p w:rsidR="001C67FB" w:rsidRPr="001C67FB" w:rsidRDefault="001C67FB" w:rsidP="00537832">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5A" w:rsidRDefault="006E7D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5A" w:rsidRDefault="006E7D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5A" w:rsidRDefault="006E7D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3783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78782"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3783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78783"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3783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78781"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1C67FB"/>
    <w:rsid w:val="001F615E"/>
    <w:rsid w:val="0023494B"/>
    <w:rsid w:val="00240148"/>
    <w:rsid w:val="0024079B"/>
    <w:rsid w:val="00267D81"/>
    <w:rsid w:val="002A007B"/>
    <w:rsid w:val="003B3AE8"/>
    <w:rsid w:val="003D3613"/>
    <w:rsid w:val="003D7EE0"/>
    <w:rsid w:val="00501EB2"/>
    <w:rsid w:val="00537832"/>
    <w:rsid w:val="005815C0"/>
    <w:rsid w:val="005826FD"/>
    <w:rsid w:val="00601BC4"/>
    <w:rsid w:val="006603F2"/>
    <w:rsid w:val="006C07BD"/>
    <w:rsid w:val="006E7D5A"/>
    <w:rsid w:val="007157BD"/>
    <w:rsid w:val="00771E15"/>
    <w:rsid w:val="008662EA"/>
    <w:rsid w:val="008676FF"/>
    <w:rsid w:val="008C2A93"/>
    <w:rsid w:val="008E6B78"/>
    <w:rsid w:val="009C4C62"/>
    <w:rsid w:val="009D6B1C"/>
    <w:rsid w:val="009F3C04"/>
    <w:rsid w:val="00A55201"/>
    <w:rsid w:val="00AE6E4F"/>
    <w:rsid w:val="00AF583A"/>
    <w:rsid w:val="00B050D6"/>
    <w:rsid w:val="00B86205"/>
    <w:rsid w:val="00BA2B13"/>
    <w:rsid w:val="00C250D0"/>
    <w:rsid w:val="00CE7610"/>
    <w:rsid w:val="00CF7FC6"/>
    <w:rsid w:val="00D66E22"/>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537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53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D3F8-00A0-44CB-A5B6-7FE22B3C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1685</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33</cp:revision>
  <cp:lastPrinted>2015-07-27T10:48:00Z</cp:lastPrinted>
  <dcterms:created xsi:type="dcterms:W3CDTF">2015-07-27T10:32:00Z</dcterms:created>
  <dcterms:modified xsi:type="dcterms:W3CDTF">2015-11-30T08:42:00Z</dcterms:modified>
</cp:coreProperties>
</file>